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Correctional Education Association Region 1</w:t>
      </w:r>
    </w:p>
    <w:p>
      <w:pPr>
        <w:pStyle w:val="Body A"/>
        <w:jc w:val="center"/>
        <w:rPr>
          <w:b w:val="1"/>
          <w:bCs w:val="1"/>
          <w:sz w:val="32"/>
          <w:szCs w:val="32"/>
        </w:rPr>
      </w:pPr>
      <w:r>
        <w:rPr>
          <w:sz w:val="36"/>
          <w:szCs w:val="36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3371498</wp:posOffset>
            </wp:positionH>
            <wp:positionV relativeFrom="line">
              <wp:posOffset>133323</wp:posOffset>
            </wp:positionV>
            <wp:extent cx="882594" cy="1118740"/>
            <wp:effectExtent l="0" t="0" r="0" b="0"/>
            <wp:wrapNone/>
            <wp:docPr id="1073741825" name="officeArt object" descr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44" descr="Picture 44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594" cy="11187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jc w:val="center"/>
        <w:rPr>
          <w:b w:val="1"/>
          <w:bCs w:val="1"/>
          <w:sz w:val="32"/>
          <w:szCs w:val="32"/>
        </w:rPr>
      </w:pPr>
    </w:p>
    <w:p>
      <w:pPr>
        <w:pStyle w:val="Body A"/>
        <w:jc w:val="center"/>
        <w:rPr>
          <w:b w:val="1"/>
          <w:bCs w:val="1"/>
          <w:sz w:val="32"/>
          <w:szCs w:val="32"/>
        </w:rPr>
      </w:pPr>
    </w:p>
    <w:p>
      <w:pPr>
        <w:pStyle w:val="Body A"/>
        <w:jc w:val="center"/>
        <w:rPr>
          <w:b w:val="1"/>
          <w:bCs w:val="1"/>
          <w:sz w:val="32"/>
          <w:szCs w:val="32"/>
        </w:rPr>
      </w:pPr>
    </w:p>
    <w:p>
      <w:pPr>
        <w:pStyle w:val="Body A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Qualification for Selection as Teacher of the Year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The individual selected must spend at least 51% of their time in classroom instruction.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The individual selected must have taught in a correctional facility for a minimum of two years.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In order to accept the nomination, the individual selected must become a CEA member.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The individual selected must have demonstrated leadership qualities and be active in promoting improvements in correctional education.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The individual selected must have demonstrated devotion to the teaching profession as evidenced by a willingness to work beyond their job description.</w:t>
      </w:r>
    </w:p>
    <w:p>
      <w:pPr>
        <w:pStyle w:val="Body A"/>
        <w:ind w:left="360" w:firstLine="0"/>
        <w:rPr>
          <w:b w:val="1"/>
          <w:bCs w:val="1"/>
          <w:sz w:val="24"/>
          <w:szCs w:val="24"/>
          <w:lang w:val="fr-FR"/>
        </w:rPr>
      </w:pPr>
      <w:r>
        <w:rPr>
          <w:b w:val="1"/>
          <w:bCs w:val="1"/>
          <w:sz w:val="24"/>
          <w:szCs w:val="24"/>
          <w:rtl w:val="0"/>
          <w:lang w:val="fr-FR"/>
        </w:rPr>
        <w:t>Instructions</w:t>
      </w:r>
    </w:p>
    <w:p>
      <w:pPr>
        <w:pStyle w:val="List Paragraph"/>
        <w:numPr>
          <w:ilvl w:val="0"/>
          <w:numId w:val="5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 nomination letter must accompany the application.</w:t>
      </w:r>
    </w:p>
    <w:p>
      <w:pPr>
        <w:pStyle w:val="List Paragraph"/>
        <w:numPr>
          <w:ilvl w:val="0"/>
          <w:numId w:val="5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Nominations should be by the teacher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immediate supervisor, principal, or superintendent.  Also, any current CEA member in good standing for at least 3 years can nominate an instructor.  </w:t>
      </w:r>
      <w:r>
        <w:rPr>
          <w:b w:val="1"/>
          <w:bCs w:val="1"/>
          <w:sz w:val="28"/>
          <w:szCs w:val="28"/>
          <w:rtl w:val="0"/>
          <w:lang w:val="en-US"/>
        </w:rPr>
        <w:t>One recommendation MUST be by the teacher</w:t>
      </w:r>
      <w:r>
        <w:rPr>
          <w:b w:val="1"/>
          <w:bCs w:val="1"/>
          <w:sz w:val="28"/>
          <w:szCs w:val="28"/>
          <w:rtl w:val="0"/>
          <w:lang w:val="en-US"/>
        </w:rPr>
        <w:t>’</w:t>
      </w:r>
      <w:r>
        <w:rPr>
          <w:b w:val="1"/>
          <w:bCs w:val="1"/>
          <w:sz w:val="28"/>
          <w:szCs w:val="28"/>
          <w:rtl w:val="0"/>
          <w:lang w:val="en-US"/>
        </w:rPr>
        <w:t xml:space="preserve">s immediate supervisor who can provide verification that the teacher selected will be granted time to attend the 79th Annual CEA International conference on August 10 </w:t>
      </w:r>
      <w:r>
        <w:rPr>
          <w:b w:val="1"/>
          <w:bCs w:val="1"/>
          <w:sz w:val="28"/>
          <w:szCs w:val="28"/>
          <w:rtl w:val="0"/>
          <w:lang w:val="en-US"/>
        </w:rPr>
        <w:t xml:space="preserve">– </w:t>
      </w:r>
      <w:r>
        <w:rPr>
          <w:b w:val="1"/>
          <w:bCs w:val="1"/>
          <w:sz w:val="28"/>
          <w:szCs w:val="28"/>
          <w:rtl w:val="0"/>
          <w:lang w:val="en-US"/>
        </w:rPr>
        <w:t xml:space="preserve">13, 2025 at the Sheraton Pittsburgh Hotel Station Square 300 W. Station Square Dr., Pittsburgh, PA, 15219. </w:t>
      </w:r>
    </w:p>
    <w:p>
      <w:pPr>
        <w:pStyle w:val="List Paragraph"/>
        <w:numPr>
          <w:ilvl w:val="0"/>
          <w:numId w:val="5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No less than two (2), but no more than (4) recommendations must be included with the application.  </w:t>
      </w:r>
    </w:p>
    <w:p>
      <w:pPr>
        <w:pStyle w:val="List Paragraph"/>
        <w:numPr>
          <w:ilvl w:val="0"/>
          <w:numId w:val="5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Verifying documentation in the form of reviews, news articles, etc. may be attached to the application, but the entire packet must be reproducible.</w:t>
      </w:r>
    </w:p>
    <w:p>
      <w:pPr>
        <w:pStyle w:val="List Paragraph"/>
        <w:numPr>
          <w:ilvl w:val="0"/>
          <w:numId w:val="5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The nominated teacher may write their response to the questions in a different document.</w:t>
      </w:r>
    </w:p>
    <w:p>
      <w:pPr>
        <w:pStyle w:val="Body A"/>
        <w:rPr>
          <w:sz w:val="24"/>
          <w:szCs w:val="24"/>
        </w:rPr>
      </w:pPr>
    </w:p>
    <w:p>
      <w:pPr>
        <w:pStyle w:val="Body A"/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Dear Correctional Educator, </w:t>
      </w:r>
    </w:p>
    <w:p>
      <w:pPr>
        <w:pStyle w:val="No Spacing"/>
        <w:spacing w:line="360" w:lineRule="auto"/>
        <w:rPr>
          <w:b w:val="1"/>
          <w:bCs w:val="1"/>
          <w:sz w:val="28"/>
          <w:szCs w:val="28"/>
        </w:rPr>
      </w:pPr>
      <w:r>
        <w:rPr>
          <w:rtl w:val="0"/>
          <w:lang w:val="en-US"/>
        </w:rPr>
        <w:t xml:space="preserve">Below is the application for the CEA Region 1 Teacher of the Year Award.  </w:t>
      </w:r>
      <w:r>
        <w:rPr>
          <w:b w:val="1"/>
          <w:bCs w:val="1"/>
          <w:sz w:val="28"/>
          <w:szCs w:val="28"/>
          <w:rtl w:val="0"/>
          <w:lang w:val="en-US"/>
        </w:rPr>
        <w:t>Please complete the packet including a recent photo and return it to:  region1@ceanational.org by April 4</w:t>
      </w:r>
      <w:r>
        <w:rPr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b w:val="1"/>
          <w:bCs w:val="1"/>
          <w:sz w:val="28"/>
          <w:szCs w:val="28"/>
          <w:vertAlign w:val="superscript"/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rtl w:val="0"/>
          <w:lang w:val="en-US"/>
        </w:rPr>
        <w:t xml:space="preserve">2025. </w:t>
      </w:r>
    </w:p>
    <w:p>
      <w:pPr>
        <w:pStyle w:val="No Spacing"/>
      </w:pPr>
      <w:r>
        <w:tab/>
      </w: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The 2025 Region 1 Teacher of the Year must be able to attend the 79</w:t>
      </w:r>
      <w:r>
        <w:rPr>
          <w:b w:val="1"/>
          <w:bCs w:val="1"/>
          <w:sz w:val="28"/>
          <w:szCs w:val="28"/>
          <w:vertAlign w:val="superscript"/>
          <w:rtl w:val="0"/>
          <w:lang w:val="en-US"/>
        </w:rPr>
        <w:t>th</w:t>
      </w:r>
      <w:r>
        <w:rPr>
          <w:b w:val="1"/>
          <w:bCs w:val="1"/>
          <w:sz w:val="28"/>
          <w:szCs w:val="28"/>
          <w:rtl w:val="0"/>
          <w:lang w:val="en-US"/>
        </w:rPr>
        <w:t xml:space="preserve"> Annual International CEA Conference to be held at the 79th Annual CEA International conference on August 10 </w:t>
      </w:r>
      <w:r>
        <w:rPr>
          <w:b w:val="1"/>
          <w:bCs w:val="1"/>
          <w:sz w:val="28"/>
          <w:szCs w:val="28"/>
          <w:rtl w:val="0"/>
          <w:lang w:val="en-US"/>
        </w:rPr>
        <w:t xml:space="preserve">– </w:t>
      </w:r>
      <w:r>
        <w:rPr>
          <w:b w:val="1"/>
          <w:bCs w:val="1"/>
          <w:sz w:val="28"/>
          <w:szCs w:val="28"/>
          <w:rtl w:val="0"/>
          <w:lang w:val="en-US"/>
        </w:rPr>
        <w:t>13, 2025 at the Sheraton Pittsburgh Hotel Station Square 300 W. Station Square Dr., Pittsburgh, PA, 15219.</w:t>
      </w:r>
    </w:p>
    <w:p>
      <w:pPr>
        <w:pStyle w:val="Body A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 xml:space="preserve"> 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Upon verification of receipts and attendance</w:t>
      </w:r>
      <w:r>
        <w:rPr>
          <w:sz w:val="24"/>
          <w:szCs w:val="24"/>
          <w:rtl w:val="0"/>
          <w:lang w:val="en-US"/>
        </w:rPr>
        <w:t>, t</w:t>
      </w:r>
      <w:r>
        <w:rPr>
          <w:sz w:val="24"/>
          <w:szCs w:val="24"/>
          <w:rtl w:val="0"/>
          <w:lang w:val="en-US"/>
        </w:rPr>
        <w:t>he Teacher of the Year for Region 1 will be reimbursed. Reimbursement must follow their state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travel requirements. 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 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jc w:val="center"/>
      </w:pPr>
    </w:p>
    <w:p>
      <w:pPr>
        <w:pStyle w:val="Body A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Correctional Education Association</w:t>
      </w:r>
    </w:p>
    <w:p>
      <w:pPr>
        <w:pStyle w:val="Body A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32"/>
          <w:szCs w:val="32"/>
          <w:rtl w:val="0"/>
          <w:lang w:val="en-US"/>
        </w:rPr>
        <w:t>2025 Teacher of the Year Nomination Form Region 1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  <w:lang w:val="de-DE"/>
        </w:rPr>
      </w:pPr>
      <w:r>
        <w:rPr>
          <w:sz w:val="24"/>
          <w:szCs w:val="24"/>
          <w:rtl w:val="0"/>
          <w:lang w:val="de-DE"/>
        </w:rPr>
        <w:t>Name: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Facility:</w:t>
        <w:tab/>
        <w:tab/>
        <w:tab/>
        <w:tab/>
        <w:t>State:</w:t>
        <w:tab/>
        <w:tab/>
        <w:tab/>
        <w:tab/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Supervisor Name:</w:t>
        <w:tab/>
        <w:tab/>
        <w:tab/>
        <w:tab/>
        <w:t xml:space="preserve">Telephone number: 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Number of years as educator:</w:t>
        <w:tab/>
        <w:tab/>
        <w:t>Number of years as a correctional educator: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Previous Correctional Experience add columns as needed</w:t>
      </w:r>
    </w:p>
    <w:tbl>
      <w:tblPr>
        <w:tblW w:w="9350" w:type="dxa"/>
        <w:jc w:val="left"/>
        <w:tblInd w:w="75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155"/>
        <w:gridCol w:w="4078"/>
        <w:gridCol w:w="3117"/>
      </w:tblGrid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2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Dates</w:t>
            </w:r>
          </w:p>
        </w:tc>
        <w:tc>
          <w:tcPr>
            <w:tcW w:type="dxa" w:w="4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Institution and Location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Position</w:t>
            </w:r>
          </w:p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2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2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50" w:hRule="atLeast"/>
        </w:trPr>
        <w:tc>
          <w:tcPr>
            <w:tcW w:type="dxa" w:w="2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line="240" w:lineRule="auto"/>
        <w:ind w:left="648" w:hanging="648"/>
        <w:rPr>
          <w:sz w:val="24"/>
          <w:szCs w:val="24"/>
        </w:rPr>
      </w:pPr>
    </w:p>
    <w:p>
      <w:pPr>
        <w:pStyle w:val="Body A"/>
        <w:widowControl w:val="0"/>
        <w:spacing w:line="240" w:lineRule="auto"/>
        <w:ind w:left="540" w:hanging="540"/>
        <w:rPr>
          <w:sz w:val="24"/>
          <w:szCs w:val="24"/>
        </w:rPr>
      </w:pPr>
    </w:p>
    <w:p>
      <w:pPr>
        <w:pStyle w:val="Body A"/>
        <w:widowControl w:val="0"/>
        <w:spacing w:line="240" w:lineRule="auto"/>
        <w:ind w:left="432" w:hanging="432"/>
        <w:rPr>
          <w:sz w:val="24"/>
          <w:szCs w:val="24"/>
        </w:rPr>
      </w:pPr>
    </w:p>
    <w:p>
      <w:pPr>
        <w:pStyle w:val="Body A"/>
        <w:widowControl w:val="0"/>
        <w:spacing w:line="240" w:lineRule="auto"/>
        <w:ind w:left="324" w:hanging="324"/>
        <w:rPr>
          <w:sz w:val="24"/>
          <w:szCs w:val="24"/>
        </w:rPr>
      </w:pPr>
    </w:p>
    <w:p>
      <w:pPr>
        <w:pStyle w:val="Body A"/>
        <w:widowControl w:val="0"/>
        <w:spacing w:line="240" w:lineRule="auto"/>
        <w:ind w:left="216" w:hanging="216"/>
        <w:rPr>
          <w:sz w:val="24"/>
          <w:szCs w:val="24"/>
        </w:rPr>
      </w:pPr>
    </w:p>
    <w:p>
      <w:pPr>
        <w:pStyle w:val="Body A"/>
        <w:widowControl w:val="0"/>
        <w:spacing w:line="240" w:lineRule="auto"/>
        <w:ind w:left="108" w:hanging="108"/>
        <w:rPr>
          <w:sz w:val="24"/>
          <w:szCs w:val="24"/>
        </w:rPr>
      </w:pPr>
    </w:p>
    <w:p>
      <w:pPr>
        <w:pStyle w:val="Body A"/>
        <w:widowControl w:val="0"/>
        <w:spacing w:line="240" w:lineRule="auto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Related Experience:</w:t>
      </w: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Extraordinary Contributions to Correctional Education (This section should include activities that improve the education program or enhance the well-being of the students.  They can be part of the regular school program or extracurricular, and they can occur during the regular school day or beyond normal working hours.)</w:t>
      </w: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 Description of the Extraordinary Contribution(s):</w:t>
      </w:r>
    </w:p>
    <w:p>
      <w:pPr>
        <w:pStyle w:val="List Paragraph"/>
        <w:rPr>
          <w:sz w:val="24"/>
          <w:szCs w:val="24"/>
        </w:rPr>
      </w:pPr>
    </w:p>
    <w:p>
      <w:pPr>
        <w:pStyle w:val="List Paragraph"/>
        <w:rPr>
          <w:sz w:val="24"/>
          <w:szCs w:val="24"/>
        </w:rPr>
      </w:pPr>
    </w:p>
    <w:p>
      <w:pPr>
        <w:pStyle w:val="List Paragraph"/>
        <w:rPr>
          <w:sz w:val="24"/>
          <w:szCs w:val="24"/>
        </w:rPr>
      </w:pP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 Universality of Application (Can it be applied to other correctional schools or is its application limited to one school?  Explain):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List Paragraph"/>
        <w:numPr>
          <w:ilvl w:val="0"/>
          <w:numId w:val="7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 Importance of Contribution: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Professional Growth</w:t>
      </w:r>
    </w:p>
    <w:p>
      <w:pPr>
        <w:pStyle w:val="List Paragraph"/>
        <w:numPr>
          <w:ilvl w:val="0"/>
          <w:numId w:val="9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 Professional Courses beyond Certification Requirements: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Background Information</w:t>
      </w:r>
    </w:p>
    <w:p>
      <w:pPr>
        <w:pStyle w:val="List Paragraph"/>
        <w:numPr>
          <w:ilvl w:val="0"/>
          <w:numId w:val="11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 Professional Duties: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List Paragraph"/>
        <w:numPr>
          <w:ilvl w:val="0"/>
          <w:numId w:val="11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 Academic and/or Vocational Background and Experience: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List Paragraph"/>
        <w:numPr>
          <w:ilvl w:val="0"/>
          <w:numId w:val="11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 Community Activities: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List Paragraph"/>
        <w:numPr>
          <w:ilvl w:val="0"/>
          <w:numId w:val="11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 Hobbies and Interests: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Statement of Personal Philosophy  (Completed by the nominee):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I,_______________, membership # ______________ accept the nomination and agree to complete the necessary forms and to participate fully in the Teacher of the Year process.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it-IT"/>
        </w:rPr>
        <w:t>Signed:</w:t>
        <w:tab/>
        <w:tab/>
        <w:tab/>
        <w:tab/>
        <w:tab/>
        <w:tab/>
        <w:t>Telephone:</w:t>
      </w:r>
    </w:p>
    <w:p>
      <w:pPr>
        <w:pStyle w:val="Body A"/>
        <w:rPr>
          <w:sz w:val="24"/>
          <w:szCs w:val="24"/>
        </w:rPr>
      </w:pPr>
    </w:p>
    <w:p>
      <w:pPr>
        <w:pStyle w:val="Body A"/>
      </w:pPr>
      <w:r>
        <w:rPr>
          <w:sz w:val="24"/>
          <w:szCs w:val="24"/>
          <w:rtl w:val="0"/>
          <w:lang w:val="en-US"/>
        </w:rPr>
        <w:t>Address:</w:t>
      </w:r>
    </w:p>
    <w:sectPr>
      <w:headerReference w:type="default" r:id="rId5"/>
      <w:footerReference w:type="default" r:id="rId6"/>
      <w:pgSz w:w="12240" w:h="15840" w:orient="portrait"/>
      <w:pgMar w:top="1440" w:right="1440" w:bottom="99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upperLetter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upperLetter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upperLetter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500" w:hanging="4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210" w:hanging="35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940" w:hanging="4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60" w:hanging="4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70" w:hanging="35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100" w:hanging="4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820" w:hanging="4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530" w:hanging="35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4"/>
      </w:numPr>
    </w:p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3">
    <w:name w:val="Imported Style 3"/>
    <w:pPr>
      <w:numPr>
        <w:numId w:val="6"/>
      </w:numPr>
    </w:pPr>
  </w:style>
  <w:style w:type="numbering" w:styleId="Imported Style 4">
    <w:name w:val="Imported Style 4"/>
    <w:pPr>
      <w:numPr>
        <w:numId w:val="8"/>
      </w:numPr>
    </w:pPr>
  </w:style>
  <w:style w:type="numbering" w:styleId="Imported Style 5">
    <w:name w:val="Imported Style 5"/>
    <w:pPr>
      <w:numPr>
        <w:numId w:val="10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